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exac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pPr>
              <w:spacing w:line="240" w:lineRule="exact"/>
              <w:jc w:val="center"/>
              <w:rPr>
                <w:rFonts w:hint="eastAsia" w:ascii="仿宋" w:hAnsi="仿宋" w:eastAsia="仿宋" w:cs="仿宋"/>
                <w:sz w:val="24"/>
                <w:szCs w:val="24"/>
              </w:rPr>
            </w:pPr>
            <w:r>
              <w:rPr>
                <w:rFonts w:hint="eastAsia" w:ascii="仿宋" w:hAnsi="仿宋" w:eastAsia="仿宋" w:cs="仿宋"/>
                <w:color w:val="000000"/>
                <w:sz w:val="24"/>
                <w:szCs w:val="24"/>
              </w:rPr>
              <w:t>咫尺之遥 何时跨越</w:t>
            </w:r>
          </w:p>
        </w:tc>
        <w:tc>
          <w:tcPr>
            <w:tcW w:w="1819" w:type="dxa"/>
            <w:gridSpan w:val="2"/>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深度报道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exact"/>
        </w:trPr>
        <w:tc>
          <w:tcPr>
            <w:tcW w:w="992" w:type="dxa"/>
            <w:vMerge w:val="restart"/>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3883字</w:t>
            </w: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报纸通讯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992" w:type="dxa"/>
            <w:vMerge w:val="continue"/>
            <w:tcBorders>
              <w:tl2br w:val="nil"/>
              <w:tr2bl w:val="nil"/>
            </w:tcBorders>
            <w:vAlign w:val="center"/>
          </w:tcPr>
          <w:p>
            <w:pPr>
              <w:spacing w:line="320" w:lineRule="exact"/>
              <w:jc w:val="center"/>
              <w:rPr>
                <w:rFonts w:hint="eastAsia" w:ascii="华文中宋" w:hAnsi="华文中宋" w:eastAsia="华文中宋"/>
                <w:color w:val="000000"/>
                <w:sz w:val="28"/>
              </w:rPr>
            </w:pPr>
          </w:p>
        </w:tc>
        <w:tc>
          <w:tcPr>
            <w:tcW w:w="3728" w:type="dxa"/>
            <w:gridSpan w:val="4"/>
            <w:vMerge w:val="continue"/>
            <w:tcBorders>
              <w:tl2br w:val="nil"/>
              <w:tr2bl w:val="nil"/>
            </w:tcBorders>
            <w:vAlign w:val="center"/>
          </w:tcPr>
          <w:p>
            <w:pPr>
              <w:spacing w:line="380" w:lineRule="exact"/>
              <w:ind w:firstLine="560"/>
              <w:jc w:val="center"/>
              <w:rPr>
                <w:rFonts w:hint="eastAsia" w:ascii="仿宋" w:hAnsi="仿宋" w:eastAsia="仿宋" w:cs="仿宋"/>
                <w:color w:val="000000"/>
                <w:sz w:val="24"/>
                <w:szCs w:val="24"/>
              </w:rPr>
            </w:pP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中文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兰锋、王凤山、陈梦婕</w:t>
            </w: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黄培坤、游笑春、李智勇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5"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福建日报</w:t>
            </w:r>
          </w:p>
        </w:tc>
        <w:tc>
          <w:tcPr>
            <w:tcW w:w="1819" w:type="dxa"/>
            <w:gridSpan w:val="2"/>
            <w:tcBorders>
              <w:tl2br w:val="nil"/>
              <w:tr2bl w:val="nil"/>
            </w:tcBorders>
            <w:vAlign w:val="center"/>
          </w:tcPr>
          <w:p>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pPr>
              <w:spacing w:line="260" w:lineRule="exact"/>
              <w:rPr>
                <w:rFonts w:hint="eastAsia"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福建日报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exact"/>
        </w:trPr>
        <w:tc>
          <w:tcPr>
            <w:tcW w:w="1504" w:type="dxa"/>
            <w:gridSpan w:val="2"/>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7"/>
                <w:sz w:val="24"/>
                <w:szCs w:val="21"/>
              </w:rPr>
              <w:t>（</w:t>
            </w:r>
            <w:r>
              <w:rPr>
                <w:rFonts w:hint="eastAsia" w:ascii="华文中宋" w:hAnsi="华文中宋" w:eastAsia="华文中宋"/>
                <w:color w:val="000000"/>
                <w:spacing w:val="-17"/>
                <w:sz w:val="22"/>
                <w:szCs w:val="21"/>
              </w:rPr>
              <w:t>名称和版次）</w:t>
            </w:r>
          </w:p>
        </w:tc>
        <w:tc>
          <w:tcPr>
            <w:tcW w:w="3216" w:type="dxa"/>
            <w:gridSpan w:val="3"/>
            <w:tcBorders>
              <w:tl2br w:val="nil"/>
              <w:tr2bl w:val="nil"/>
            </w:tcBorders>
            <w:vAlign w:val="center"/>
          </w:tcPr>
          <w:p>
            <w:pPr>
              <w:spacing w:line="240" w:lineRule="exact"/>
              <w:jc w:val="center"/>
              <w:rPr>
                <w:rFonts w:hint="eastAsia" w:ascii="方正仿宋_GB2312" w:hAnsi="仿宋"/>
                <w:color w:val="000000"/>
                <w:szCs w:val="21"/>
              </w:rPr>
            </w:pPr>
            <w:r>
              <w:rPr>
                <w:rFonts w:hint="eastAsia" w:ascii="仿宋" w:hAnsi="仿宋" w:eastAsia="仿宋" w:cs="仿宋"/>
                <w:color w:val="000000"/>
                <w:sz w:val="24"/>
                <w:szCs w:val="24"/>
              </w:rPr>
              <w:t>要闻1版</w:t>
            </w:r>
          </w:p>
        </w:tc>
        <w:tc>
          <w:tcPr>
            <w:tcW w:w="87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发布日期</w:t>
            </w:r>
          </w:p>
        </w:tc>
        <w:tc>
          <w:tcPr>
            <w:tcW w:w="4221" w:type="dxa"/>
            <w:gridSpan w:val="4"/>
            <w:tcBorders>
              <w:tl2br w:val="nil"/>
              <w:tr2bl w:val="nil"/>
            </w:tcBorders>
            <w:vAlign w:val="center"/>
          </w:tcPr>
          <w:p>
            <w:pPr>
              <w:spacing w:line="240" w:lineRule="exact"/>
              <w:jc w:val="center"/>
              <w:rPr>
                <w:rFonts w:hint="eastAsia" w:ascii="方正仿宋_GB2312" w:hAnsi="仿宋"/>
                <w:color w:val="000000"/>
                <w:szCs w:val="21"/>
              </w:rPr>
            </w:pPr>
            <w:r>
              <w:rPr>
                <w:rFonts w:hint="eastAsia" w:ascii="仿宋" w:hAnsi="仿宋" w:eastAsia="仿宋" w:cs="仿宋"/>
                <w:color w:val="000000"/>
                <w:sz w:val="24"/>
                <w:szCs w:val="24"/>
              </w:rPr>
              <w:t>2025年12月15日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0" w:hRule="atLeast"/>
        </w:trPr>
        <w:tc>
          <w:tcPr>
            <w:tcW w:w="1504" w:type="dxa"/>
            <w:gridSpan w:val="2"/>
            <w:tcBorders>
              <w:tl2br w:val="nil"/>
              <w:tr2bl w:val="nil"/>
            </w:tcBorders>
            <w:vAlign w:val="center"/>
          </w:tcPr>
          <w:p>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pPr>
              <w:spacing w:line="320" w:lineRule="exact"/>
              <w:jc w:val="center"/>
              <w:rPr>
                <w:rFonts w:hint="eastAsia"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5"/>
            <w:tcBorders>
              <w:tl2br w:val="nil"/>
              <w:tr2bl w:val="nil"/>
            </w:tcBorders>
            <w:vAlign w:val="center"/>
          </w:tcPr>
          <w:p>
            <w:pPr>
              <w:spacing w:line="240" w:lineRule="exact"/>
              <w:jc w:val="left"/>
              <w:rPr>
                <w:rFonts w:hint="eastAsia" w:ascii="仿宋" w:hAnsi="仿宋" w:eastAsia="仿宋" w:cs="仿宋"/>
                <w:color w:val="000000"/>
                <w:sz w:val="22"/>
              </w:rPr>
            </w:pPr>
            <w:r>
              <w:rPr>
                <w:rFonts w:ascii="仿宋" w:hAnsi="仿宋" w:eastAsia="仿宋" w:cs="仿宋"/>
                <w:color w:val="auto"/>
                <w:sz w:val="24"/>
                <w:szCs w:val="24"/>
                <w:u w:val="none"/>
              </w:rPr>
              <w:t>https://share.fjdaily.com/displayTemplate/news/newsDetail/1119/3763460.html?isShare=true&amp;advColumnId=0</w:t>
            </w:r>
          </w:p>
        </w:tc>
        <w:tc>
          <w:tcPr>
            <w:tcW w:w="1742" w:type="dxa"/>
            <w:gridSpan w:val="2"/>
            <w:tcBorders>
              <w:tl2br w:val="nil"/>
              <w:tr2bl w:val="nil"/>
            </w:tcBorders>
            <w:vAlign w:val="center"/>
          </w:tcPr>
          <w:p>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pPr>
              <w:spacing w:line="240" w:lineRule="exact"/>
              <w:jc w:val="center"/>
              <w:rPr>
                <w:rFonts w:hint="eastAsia" w:ascii="华文中宋" w:hAnsi="华文中宋" w:eastAsia="华文中宋"/>
                <w:color w:val="000000"/>
                <w:sz w:val="28"/>
              </w:rPr>
            </w:pPr>
            <w:r>
              <w:rPr>
                <w:rFonts w:hint="eastAsia" w:ascii="仿宋" w:hAnsi="仿宋" w:eastAsia="仿宋" w:cs="仿宋"/>
                <w:color w:val="000000"/>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5"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bookmarkStart w:id="0" w:name="_Hlk228374942"/>
            <w:r>
              <w:rPr>
                <w:rFonts w:hint="eastAsia" w:ascii="华文中宋" w:hAnsi="华文中宋" w:eastAsia="华文中宋"/>
                <w:color w:val="000000"/>
                <w:sz w:val="28"/>
              </w:rPr>
              <w:t>作</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9"/>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本深度报道聚焦厦金大桥这一两岸融合发展的标志性工程，大桥若建成将实现厦门与金门陆路连通，彻底打破两地仅1.8公里直线距离却被交通阻隔的历史困局，是推动两岸互联互通的重大突破。报道直面厦金大桥推进过程中的现实问题：一方面梳理了项目从构想提出到厦门段动工的二十余年历程，展现大陆方面的积极推动、金门各界的持续奔走与厦门段建设的扎实进展；另一方面直指民进党当局的政治阻挠是大桥连通金门的核心障碍。作品立足祖国统一的战略高度，将厦金大桥与金门供水等重大民生工程并列，凸显其备受两岸同胞关注的时代价值。报道以金门物价高、出行难、产业受限等真实民生痛点为切入点，紧扣当地百姓的迫切诉求，把两岸融合发展的宏大主题，落脚于金门经济振兴、民生改善的具体实践，打破大众对两岸互联互通的抽象化认知，充分展现了金门民众对大桥通车的期盼。报道通过曹原彰、陈沧江、李炷烽等金门各界代表人士的亲身经历与心声，深刻诠释厦金大桥不仅是交通通道，更是承载两岸血脉亲情、助力金门长远发展的民生桥、连心桥。作品一经推出，引发两岸受众广泛共鸣，既深化了大众对两岸融合发展的认知，也为推动厦金通桥、促进祖国统一凝聚了强大的社会共识。</w:t>
            </w:r>
          </w:p>
        </w:tc>
      </w:tr>
      <w:bookmarkEnd w:id="0"/>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3" w:hRule="exact"/>
        </w:trPr>
        <w:tc>
          <w:tcPr>
            <w:tcW w:w="992" w:type="dxa"/>
            <w:vMerge w:val="restart"/>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1" w:type="dxa"/>
            <w:gridSpan w:val="7"/>
            <w:tcBorders>
              <w:tl2br w:val="nil"/>
              <w:tr2bl w:val="nil"/>
            </w:tcBorders>
            <w:vAlign w:val="center"/>
          </w:tcPr>
          <w:p>
            <w:pPr>
              <w:spacing w:line="240" w:lineRule="exact"/>
              <w:jc w:val="left"/>
              <w:rPr>
                <w:rFonts w:hint="eastAsia" w:ascii="仿宋" w:hAnsi="仿宋" w:eastAsia="仿宋" w:cs="仿宋"/>
                <w:color w:val="000000"/>
                <w:sz w:val="24"/>
                <w:szCs w:val="24"/>
              </w:rPr>
            </w:pPr>
            <w:r>
              <w:rPr>
                <w:rFonts w:ascii="仿宋" w:hAnsi="仿宋" w:eastAsia="仿宋" w:cs="仿宋"/>
                <w:color w:val="auto"/>
                <w:sz w:val="24"/>
                <w:szCs w:val="24"/>
                <w:u w:val="none"/>
              </w:rPr>
              <w:t>https://share.f</w:t>
            </w:r>
            <w:bookmarkStart w:id="1" w:name="_GoBack"/>
            <w:bookmarkEnd w:id="1"/>
            <w:r>
              <w:rPr>
                <w:rFonts w:ascii="仿宋" w:hAnsi="仿宋" w:eastAsia="仿宋" w:cs="仿宋"/>
                <w:color w:val="auto"/>
                <w:sz w:val="24"/>
                <w:szCs w:val="24"/>
                <w:u w:val="none"/>
              </w:rPr>
              <w:t>jdaily.com/displayTemplate/news/newsDetail/1119/3763460.html?isShare=true&amp;advColumnId=0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39" w:hRule="exact"/>
        </w:trPr>
        <w:tc>
          <w:tcPr>
            <w:tcW w:w="992" w:type="dxa"/>
            <w:vMerge w:val="continue"/>
            <w:tcBorders>
              <w:tl2br w:val="nil"/>
              <w:tr2bl w:val="nil"/>
            </w:tcBorders>
            <w:vAlign w:val="center"/>
          </w:tcPr>
          <w:p>
            <w:pPr>
              <w:spacing w:line="320" w:lineRule="exact"/>
              <w:jc w:val="center"/>
              <w:rPr>
                <w:rFonts w:hint="eastAsia" w:ascii="华文中宋" w:hAnsi="华文中宋" w:eastAsia="华文中宋"/>
                <w:color w:val="000000"/>
                <w:sz w:val="28"/>
              </w:rPr>
            </w:pPr>
          </w:p>
        </w:tc>
        <w:tc>
          <w:tcPr>
            <w:tcW w:w="1400" w:type="dxa"/>
            <w:gridSpan w:val="2"/>
            <w:tcBorders>
              <w:tl2br w:val="nil"/>
              <w:tr2bl w:val="nil"/>
            </w:tcBorders>
            <w:vAlign w:val="center"/>
          </w:tcPr>
          <w:p>
            <w:pPr>
              <w:spacing w:line="240" w:lineRule="exact"/>
              <w:jc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该平台</w:t>
            </w:r>
          </w:p>
          <w:p>
            <w:pPr>
              <w:spacing w:line="240" w:lineRule="exact"/>
              <w:jc w:val="center"/>
              <w:rPr>
                <w:rFonts w:hint="eastAsia"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tcBorders>
              <w:tl2br w:val="nil"/>
              <w:tr2bl w:val="nil"/>
            </w:tcBorders>
            <w:vAlign w:val="center"/>
          </w:tcPr>
          <w:p>
            <w:pPr>
              <w:spacing w:line="240" w:lineRule="exact"/>
              <w:jc w:val="center"/>
              <w:rPr>
                <w:rFonts w:hint="eastAsia" w:ascii="仿宋" w:hAnsi="仿宋" w:eastAsia="仿宋"/>
                <w:color w:val="000000"/>
                <w:sz w:val="21"/>
                <w:szCs w:val="21"/>
              </w:rPr>
            </w:pPr>
            <w:r>
              <w:rPr>
                <w:rFonts w:hint="eastAsia" w:ascii="仿宋" w:hAnsi="仿宋" w:eastAsia="仿宋" w:cs="仿宋"/>
                <w:color w:val="000000"/>
                <w:sz w:val="24"/>
                <w:szCs w:val="24"/>
              </w:rPr>
              <w:t>152万</w:t>
            </w:r>
          </w:p>
        </w:tc>
        <w:tc>
          <w:tcPr>
            <w:tcW w:w="1005" w:type="dxa"/>
            <w:tcBorders>
              <w:tl2br w:val="nil"/>
              <w:tr2bl w:val="nil"/>
            </w:tcBorders>
            <w:vAlign w:val="center"/>
          </w:tcPr>
          <w:p>
            <w:pPr>
              <w:spacing w:line="240" w:lineRule="exact"/>
              <w:jc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该平台</w:t>
            </w:r>
          </w:p>
          <w:p>
            <w:pPr>
              <w:spacing w:line="240" w:lineRule="exact"/>
              <w:jc w:val="center"/>
              <w:rPr>
                <w:rFonts w:hint="eastAsia"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3"/>
            <w:tcBorders>
              <w:tl2br w:val="nil"/>
              <w:tr2bl w:val="nil"/>
            </w:tcBorders>
            <w:vAlign w:val="center"/>
          </w:tcPr>
          <w:p>
            <w:pPr>
              <w:spacing w:line="240" w:lineRule="exact"/>
              <w:jc w:val="center"/>
              <w:rPr>
                <w:rFonts w:hint="eastAsia" w:ascii="仿宋" w:hAnsi="仿宋" w:eastAsia="仿宋"/>
                <w:color w:val="000000"/>
                <w:sz w:val="21"/>
                <w:szCs w:val="21"/>
              </w:rPr>
            </w:pPr>
            <w:r>
              <w:rPr>
                <w:rFonts w:hint="eastAsia" w:ascii="仿宋" w:hAnsi="仿宋" w:eastAsia="仿宋" w:cs="仿宋"/>
                <w:color w:val="000000"/>
                <w:sz w:val="24"/>
                <w:szCs w:val="24"/>
              </w:rPr>
              <w:t>点赞量4902</w:t>
            </w:r>
          </w:p>
        </w:tc>
        <w:tc>
          <w:tcPr>
            <w:tcW w:w="1122" w:type="dxa"/>
            <w:tcBorders>
              <w:tl2br w:val="nil"/>
              <w:tr2bl w:val="nil"/>
            </w:tcBorders>
            <w:vAlign w:val="center"/>
          </w:tcPr>
          <w:p>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tcBorders>
              <w:tl2br w:val="nil"/>
              <w:tr2bl w:val="nil"/>
            </w:tcBorders>
            <w:vAlign w:val="center"/>
          </w:tcPr>
          <w:p>
            <w:pPr>
              <w:spacing w:line="240" w:lineRule="exact"/>
              <w:jc w:val="center"/>
              <w:rPr>
                <w:rFonts w:hint="eastAsia" w:ascii="仿宋" w:hAnsi="仿宋" w:eastAsia="仿宋"/>
                <w:color w:val="000000"/>
                <w:sz w:val="21"/>
                <w:szCs w:val="21"/>
              </w:rPr>
            </w:pPr>
            <w:r>
              <w:rPr>
                <w:rFonts w:hint="eastAsia" w:ascii="仿宋" w:hAnsi="仿宋" w:eastAsia="仿宋"/>
                <w:color w:val="000000"/>
                <w:sz w:val="24"/>
                <w:szCs w:val="24"/>
              </w:rPr>
              <w:t>280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6" w:hRule="exact"/>
        </w:trPr>
        <w:tc>
          <w:tcPr>
            <w:tcW w:w="992" w:type="dxa"/>
            <w:tcBorders>
              <w:tl2br w:val="nil"/>
              <w:tr2bl w:val="nil"/>
            </w:tcBorders>
            <w:vAlign w:val="center"/>
          </w:tcPr>
          <w:p>
            <w:pPr>
              <w:spacing w:line="320" w:lineRule="exact"/>
              <w:jc w:val="center"/>
              <w:rPr>
                <w:rFonts w:hint="eastAsia" w:ascii="华文中宋" w:hAnsi="华文中宋" w:eastAsia="华文中宋"/>
                <w:sz w:val="28"/>
              </w:rPr>
            </w:pPr>
            <w:r>
              <w:rPr>
                <w:rFonts w:hint="eastAsia" w:ascii="华文中宋" w:hAnsi="华文中宋" w:eastAsia="华文中宋"/>
                <w:sz w:val="28"/>
              </w:rPr>
              <w:t xml:space="preserve">  ︵</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pPr>
              <w:spacing w:line="240" w:lineRule="exact"/>
              <w:jc w:val="center"/>
              <w:rPr>
                <w:rFonts w:hint="eastAsia" w:ascii="华文中宋" w:hAnsi="华文中宋" w:eastAsia="华文中宋"/>
                <w:color w:val="000000"/>
                <w:sz w:val="28"/>
              </w:rPr>
            </w:pPr>
            <w:r>
              <w:rPr>
                <w:rFonts w:hint="eastAsia" w:ascii="华文中宋" w:hAnsi="华文中宋" w:eastAsia="华文中宋"/>
                <w:sz w:val="28"/>
              </w:rPr>
              <w:t xml:space="preserve">  ︶</w:t>
            </w:r>
          </w:p>
        </w:tc>
        <w:tc>
          <w:tcPr>
            <w:tcW w:w="8821" w:type="dxa"/>
            <w:gridSpan w:val="9"/>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该报道站位高、切口小，精准聚焦厦金大桥建设这一两岸热点，选题兼具民生温度与重大时代价值。内容取材真实鲜活、案例丰富，叙事生动细腻，分析深刻有力，全文行文流畅凝练，有机融合历史脉络、现实场景、人物心声，无生硬说教，既满足深度阅读需求，又易于大众理解与广泛传播。报道跳出单一工程建设视角，将厦金大桥建设置于金门民生改善、产业振兴的现实语境中，充分展现了福建在对台工作的责任担当；同时引入《金门日报》社论、台湾相关评论员观点等多元视角，有效拓宽报道维度，帮助读者全面厘清金门发展困境、通桥现实阻碍与两岸同胞的共同期盼。报道主旨与今年4月中央台办受权发布十项促进两岸交流合作政策措施提出的推动福建与金门、马祖“新四通”的发展方向高度契合、同向而行，为两岸融合发展筑牢了坚实的社会认知基础，是一篇兼具真实性、思想性与传播力的优质深度报道。</w:t>
            </w:r>
          </w:p>
          <w:p>
            <w:pPr>
              <w:spacing w:line="360" w:lineRule="auto"/>
              <w:ind w:firstLine="480" w:firstLineChars="200"/>
              <w:jc w:val="both"/>
              <w:rPr>
                <w:rFonts w:hint="eastAsia" w:ascii="仿宋" w:hAnsi="仿宋" w:eastAsia="仿宋" w:cs="仿宋"/>
                <w:color w:val="000000"/>
                <w:sz w:val="24"/>
                <w:szCs w:val="24"/>
              </w:rPr>
            </w:pPr>
          </w:p>
          <w:p>
            <w:pPr>
              <w:spacing w:line="360" w:lineRule="auto"/>
              <w:ind w:firstLine="480" w:firstLineChars="200"/>
              <w:jc w:val="both"/>
              <w:rPr>
                <w:rFonts w:hint="eastAsia" w:ascii="仿宋" w:hAnsi="仿宋" w:eastAsia="仿宋" w:cs="仿宋"/>
                <w:color w:val="000000"/>
                <w:sz w:val="24"/>
                <w:szCs w:val="24"/>
              </w:rPr>
            </w:pPr>
          </w:p>
          <w:p>
            <w:pPr>
              <w:spacing w:line="360" w:lineRule="exact"/>
              <w:ind w:firstLine="5382" w:firstLineChars="1950"/>
              <w:jc w:val="both"/>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pPr>
              <w:jc w:val="both"/>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Droid Sans Fallbac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中宋">
    <w:altName w:val="Droid Sans Fallback"/>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
    <w:altName w:val="Droid Sans Fallback"/>
    <w:panose1 w:val="02010609060101010101"/>
    <w:charset w:val="86"/>
    <w:family w:val="modern"/>
    <w:pitch w:val="default"/>
    <w:sig w:usb0="00000000" w:usb1="00000000" w:usb2="00000016" w:usb3="00000000" w:csb0="00040001" w:csb1="00000000"/>
  </w:font>
  <w:font w:name="MathJax_Vector">
    <w:panose1 w:val="02000603000000000000"/>
    <w:charset w:val="00"/>
    <w:family w:val="auto"/>
    <w:pitch w:val="default"/>
    <w:sig w:usb0="00000001" w:usb1="0000002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E69"/>
    <w:rsid w:val="00020775"/>
    <w:rsid w:val="00072E69"/>
    <w:rsid w:val="0013349D"/>
    <w:rsid w:val="00146671"/>
    <w:rsid w:val="0018274C"/>
    <w:rsid w:val="001B3DCB"/>
    <w:rsid w:val="001E5A5D"/>
    <w:rsid w:val="002B55B5"/>
    <w:rsid w:val="002F30D7"/>
    <w:rsid w:val="00337586"/>
    <w:rsid w:val="003655A4"/>
    <w:rsid w:val="00366BD1"/>
    <w:rsid w:val="003F79CC"/>
    <w:rsid w:val="00406E19"/>
    <w:rsid w:val="00472D61"/>
    <w:rsid w:val="004B58F2"/>
    <w:rsid w:val="00571307"/>
    <w:rsid w:val="00607192"/>
    <w:rsid w:val="007D6E25"/>
    <w:rsid w:val="008F535E"/>
    <w:rsid w:val="009621E2"/>
    <w:rsid w:val="00B5354E"/>
    <w:rsid w:val="00B91A79"/>
    <w:rsid w:val="00CF5FAF"/>
    <w:rsid w:val="00E01DB5"/>
    <w:rsid w:val="00FF3E02"/>
    <w:rsid w:val="02B8569A"/>
    <w:rsid w:val="05414242"/>
    <w:rsid w:val="05900FD6"/>
    <w:rsid w:val="09D94E35"/>
    <w:rsid w:val="0C2F32F7"/>
    <w:rsid w:val="0CC955BE"/>
    <w:rsid w:val="0E0A5DCA"/>
    <w:rsid w:val="0E8512F6"/>
    <w:rsid w:val="103E4A53"/>
    <w:rsid w:val="143940BA"/>
    <w:rsid w:val="168406E3"/>
    <w:rsid w:val="1A5C2CD0"/>
    <w:rsid w:val="1BB235FD"/>
    <w:rsid w:val="232474D6"/>
    <w:rsid w:val="23EA427B"/>
    <w:rsid w:val="25C32E03"/>
    <w:rsid w:val="27FC78CA"/>
    <w:rsid w:val="29171B75"/>
    <w:rsid w:val="291819B2"/>
    <w:rsid w:val="2C2778B3"/>
    <w:rsid w:val="2C620AA4"/>
    <w:rsid w:val="2CF8440C"/>
    <w:rsid w:val="2F193C67"/>
    <w:rsid w:val="324A65F0"/>
    <w:rsid w:val="32EE65C5"/>
    <w:rsid w:val="33363900"/>
    <w:rsid w:val="385B52F0"/>
    <w:rsid w:val="38735D2A"/>
    <w:rsid w:val="3D02088F"/>
    <w:rsid w:val="3D212EDB"/>
    <w:rsid w:val="431A5C72"/>
    <w:rsid w:val="43D75D2C"/>
    <w:rsid w:val="43DD4E0B"/>
    <w:rsid w:val="458A7896"/>
    <w:rsid w:val="480A0199"/>
    <w:rsid w:val="494B4041"/>
    <w:rsid w:val="4CA94913"/>
    <w:rsid w:val="4E802F63"/>
    <w:rsid w:val="5480645A"/>
    <w:rsid w:val="555252C0"/>
    <w:rsid w:val="55734FA2"/>
    <w:rsid w:val="56751238"/>
    <w:rsid w:val="56EB1C72"/>
    <w:rsid w:val="57DC6959"/>
    <w:rsid w:val="5A850901"/>
    <w:rsid w:val="5C9E5452"/>
    <w:rsid w:val="5CEE0BCF"/>
    <w:rsid w:val="5D250E1A"/>
    <w:rsid w:val="608763D3"/>
    <w:rsid w:val="623108F2"/>
    <w:rsid w:val="629E0254"/>
    <w:rsid w:val="66501015"/>
    <w:rsid w:val="6655487D"/>
    <w:rsid w:val="67BC1058"/>
    <w:rsid w:val="6A942CE9"/>
    <w:rsid w:val="6B6A2C59"/>
    <w:rsid w:val="70BA6401"/>
    <w:rsid w:val="70CD2B43"/>
    <w:rsid w:val="73F26870"/>
    <w:rsid w:val="74096F68"/>
    <w:rsid w:val="746A2AF7"/>
    <w:rsid w:val="778B160C"/>
    <w:rsid w:val="77E21210"/>
    <w:rsid w:val="7A211BEB"/>
    <w:rsid w:val="7A401D4D"/>
    <w:rsid w:val="7C3B0FE1"/>
    <w:rsid w:val="7F6A0F42"/>
    <w:rsid w:val="7FF340C5"/>
    <w:rsid w:val="CF6F9379"/>
    <w:rsid w:val="EE464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脚 字符"/>
    <w:basedOn w:val="6"/>
    <w:link w:val="3"/>
    <w:qFormat/>
    <w:uiPriority w:val="0"/>
    <w:rPr>
      <w:rFonts w:eastAsia="方正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249</Words>
  <Characters>1422</Characters>
  <Lines>11</Lines>
  <Paragraphs>3</Paragraphs>
  <TotalTime>8</TotalTime>
  <ScaleCrop>false</ScaleCrop>
  <LinksUpToDate>false</LinksUpToDate>
  <CharactersWithSpaces>1668</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2026-04-29T17:39:00Z</dcterms:created>
  <dc:creator>EDY</dc:creator>
  <cp:lastModifiedBy>greatwall</cp:lastModifiedBy>
  <cp:lastPrinted>2026-04-30T11:04:00Z</cp:lastPrinted>
  <dcterms:modified xsi:type="dcterms:W3CDTF">2026-05-10T21:41:08Z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2052-11.1.0.11719</vt:lpwstr>
  </property>
  <property fmtid="{D5CDD505-2E9C-101B-9397-08002B2CF9AE}" pid="3" name="KSOTemplateDocerSaveRecord">
    <vt:lpwstr>eyJoZGlkIjoiMGRkNTk1YzE0MmY4ZGNjMDNhNTM3MTljMzllMTk4ZmUiLCJ1c2VySWQiOiIzMzcxMjgwNzQifQ==</vt:lpwstr>
  </property>
  <property fmtid="{D5CDD505-2E9C-101B-9397-08002B2CF9AE}" pid="4" name="ICV">
    <vt:lpwstr>8385CFDF35964C78AC6F43C8120766E0_13</vt:lpwstr>
  </property>
</Properties>
</file>